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C3AE" w14:textId="7267A64C" w:rsidR="00FF343B" w:rsidRDefault="0081755D">
      <w:pP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15FEA">
        <w:rPr>
          <w:rFonts w:ascii="黑体" w:eastAsia="黑体" w:hAnsi="黑体" w:cs="黑体"/>
          <w:sz w:val="32"/>
          <w:szCs w:val="32"/>
        </w:rPr>
        <w:t>5</w:t>
      </w:r>
    </w:p>
    <w:p w14:paraId="297DA508" w14:textId="77777777" w:rsidR="00FF343B" w:rsidRDefault="0081755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统战理论政策研究成果格式要求</w:t>
      </w:r>
    </w:p>
    <w:p w14:paraId="5430EDEF" w14:textId="77777777" w:rsidR="00FF343B" w:rsidRDefault="00FF343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7424D558" w14:textId="77777777" w:rsidR="00FF343B" w:rsidRDefault="00FF343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441983E9" w14:textId="77777777" w:rsidR="00FF343B" w:rsidRDefault="008175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一、内容要求</w:t>
      </w:r>
    </w:p>
    <w:p w14:paraId="21E64DB3" w14:textId="77777777" w:rsidR="00FF343B" w:rsidRDefault="0081755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成果材料包括创新观点说明和文章正文。说明中简要介绍创新观点、创新依据和创新价值，字数800字以内。文章围绕创新观点展开论述，字数8000字以内。创新观点说明与文章正文应</w:t>
      </w:r>
    </w:p>
    <w:p w14:paraId="1B3F8D84" w14:textId="77777777" w:rsidR="00FF343B" w:rsidRDefault="0081755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在同文档内，文档标题格式为单位+作者+文章完整标题。同时报送《全省统战理论政策研究创新成果申报目录》并加单位党委统战部公章。</w:t>
      </w:r>
    </w:p>
    <w:p w14:paraId="7024D159" w14:textId="77777777" w:rsidR="00FF343B" w:rsidRDefault="0081755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二、格式要求</w:t>
      </w:r>
    </w:p>
    <w:p w14:paraId="4F803FB6" w14:textId="77777777" w:rsidR="00FF343B" w:rsidRDefault="0081755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1.标题使用方正小标宋简体、二号字，居中排列，上空一行。申报单位统一规范简称，使用楷体-GB2312、三号字，居中排列。创新观点说明使用仿宋--GB2312，小四号字。</w:t>
      </w:r>
    </w:p>
    <w:p w14:paraId="0619170A" w14:textId="77777777" w:rsidR="00FF343B" w:rsidRDefault="0081755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2.正文使用三号字，其中一级标题使用黑体，二级标题使用楷体-GB2312，三级标题使用仿宋--GB2312并加粗。</w:t>
      </w:r>
    </w:p>
    <w:p w14:paraId="0B95A005" w14:textId="77777777" w:rsidR="00FF343B" w:rsidRDefault="0081755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3.版面设置：全文行间距为30磅，字间距为标准，页边距设置上下均为2.54cm、左右均为3.17cm。</w:t>
      </w:r>
    </w:p>
    <w:p w14:paraId="06289AF0" w14:textId="77777777" w:rsidR="00FF343B" w:rsidRDefault="0081755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三、所在单位账户信息</w:t>
      </w:r>
    </w:p>
    <w:p w14:paraId="5ECCA8BA" w14:textId="77777777" w:rsidR="00FF343B" w:rsidRDefault="0081755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1.开户行名称；2.单位</w:t>
      </w:r>
      <w:r>
        <w:rPr>
          <w:rFonts w:ascii="仿宋_GB2312" w:eastAsia="仿宋_GB2312" w:hAnsi="仿宋_GB2312" w:cs="仿宋_GB2312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；3.</w:t>
      </w:r>
      <w:r>
        <w:rPr>
          <w:rFonts w:ascii="仿宋_GB2312" w:eastAsia="仿宋_GB2312" w:hAnsi="仿宋_GB2312" w:cs="仿宋_GB2312"/>
          <w:sz w:val="32"/>
          <w:szCs w:val="32"/>
        </w:rPr>
        <w:t>账号</w:t>
      </w:r>
      <w:r>
        <w:rPr>
          <w:rFonts w:ascii="仿宋_GB2312" w:eastAsia="仿宋_GB2312" w:hAnsi="仿宋_GB2312" w:cs="仿宋_GB2312" w:hint="eastAsia"/>
          <w:sz w:val="32"/>
          <w:szCs w:val="32"/>
        </w:rPr>
        <w:t>；4.</w:t>
      </w:r>
      <w:r>
        <w:rPr>
          <w:rFonts w:ascii="仿宋_GB2312" w:eastAsia="仿宋_GB2312" w:hAnsi="仿宋_GB2312" w:cs="仿宋_GB2312"/>
          <w:sz w:val="32"/>
          <w:szCs w:val="32"/>
        </w:rPr>
        <w:t>行号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71C29B" w14:textId="77777777" w:rsidR="00FF343B" w:rsidRDefault="00FF343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343A8BF" w14:textId="77777777" w:rsidR="00FF343B" w:rsidRDefault="0081755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xxxxxxxx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研究（</w:t>
      </w:r>
      <w:r>
        <w:rPr>
          <w:rFonts w:ascii="仿宋_GB2312" w:eastAsia="仿宋_GB2312" w:hAnsi="仿宋_GB2312" w:cs="仿宋_GB2312" w:hint="eastAsia"/>
          <w:sz w:val="32"/>
          <w:szCs w:val="32"/>
        </w:rPr>
        <w:t>方正小标宋简体、二号字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）</w:t>
      </w:r>
    </w:p>
    <w:p w14:paraId="35AD8BB7" w14:textId="77777777" w:rsidR="00FF343B" w:rsidRDefault="0081755D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xx市委统战部  xxx</w:t>
      </w:r>
    </w:p>
    <w:p w14:paraId="5DD5CDA3" w14:textId="77777777" w:rsidR="00FF343B" w:rsidRDefault="00FF343B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6E3EBE1A" w14:textId="77777777" w:rsidR="00FF343B" w:rsidRDefault="0081755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创新成果说明材料</w:t>
      </w:r>
    </w:p>
    <w:tbl>
      <w:tblPr>
        <w:tblpPr w:leftFromText="180" w:rightFromText="180" w:vertAnchor="text" w:horzAnchor="page" w:tblpXSpec="center" w:tblpY="549"/>
        <w:tblOverlap w:val="never"/>
        <w:tblW w:w="9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8315"/>
      </w:tblGrid>
      <w:tr w:rsidR="00FF343B" w14:paraId="213BC6AE" w14:textId="77777777">
        <w:trPr>
          <w:trHeight w:val="821"/>
          <w:jc w:val="center"/>
        </w:trPr>
        <w:tc>
          <w:tcPr>
            <w:tcW w:w="905" w:type="dxa"/>
            <w:vAlign w:val="center"/>
          </w:tcPr>
          <w:p w14:paraId="780FEE1E" w14:textId="77777777" w:rsidR="00FF343B" w:rsidRDefault="0081755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项目</w:t>
            </w:r>
          </w:p>
        </w:tc>
        <w:tc>
          <w:tcPr>
            <w:tcW w:w="8315" w:type="dxa"/>
            <w:vAlign w:val="center"/>
          </w:tcPr>
          <w:p w14:paraId="162EECB6" w14:textId="77777777" w:rsidR="00FF343B" w:rsidRDefault="0081755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</w:rPr>
              <w:t>内    容</w:t>
            </w:r>
          </w:p>
        </w:tc>
      </w:tr>
      <w:tr w:rsidR="00FF343B" w14:paraId="7B624963" w14:textId="77777777">
        <w:trPr>
          <w:trHeight w:val="90"/>
          <w:jc w:val="center"/>
        </w:trPr>
        <w:tc>
          <w:tcPr>
            <w:tcW w:w="905" w:type="dxa"/>
            <w:vAlign w:val="center"/>
          </w:tcPr>
          <w:p w14:paraId="0D41BC68" w14:textId="77777777" w:rsidR="00FF343B" w:rsidRDefault="0081755D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创新观点</w:t>
            </w:r>
          </w:p>
        </w:tc>
        <w:tc>
          <w:tcPr>
            <w:tcW w:w="8315" w:type="dxa"/>
            <w:vAlign w:val="center"/>
          </w:tcPr>
          <w:p w14:paraId="2DE5A84A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1.道德是行为的内在规范和指引， </w:t>
            </w:r>
          </w:p>
          <w:p w14:paraId="5E75F5CC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2.鉴于理论界和实务中都鲜有对商德进行系统研究和界定的成果。</w:t>
            </w:r>
          </w:p>
          <w:p w14:paraId="6E6387EC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</w:t>
            </w:r>
          </w:p>
        </w:tc>
      </w:tr>
      <w:tr w:rsidR="00FF343B" w14:paraId="184166BD" w14:textId="77777777">
        <w:trPr>
          <w:trHeight w:val="1690"/>
          <w:jc w:val="center"/>
        </w:trPr>
        <w:tc>
          <w:tcPr>
            <w:tcW w:w="905" w:type="dxa"/>
            <w:vAlign w:val="center"/>
          </w:tcPr>
          <w:p w14:paraId="04A66776" w14:textId="77777777" w:rsidR="00FF343B" w:rsidRDefault="0081755D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创新价值</w:t>
            </w:r>
          </w:p>
        </w:tc>
        <w:tc>
          <w:tcPr>
            <w:tcW w:w="8315" w:type="dxa"/>
            <w:vAlign w:val="center"/>
          </w:tcPr>
          <w:p w14:paraId="7EDBBD28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1.理论价值：</w:t>
            </w:r>
          </w:p>
          <w:p w14:paraId="4EF49693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2.实务价值：。</w:t>
            </w:r>
          </w:p>
        </w:tc>
      </w:tr>
      <w:tr w:rsidR="00FF343B" w14:paraId="15E8CC0D" w14:textId="77777777">
        <w:trPr>
          <w:trHeight w:val="360"/>
          <w:jc w:val="center"/>
        </w:trPr>
        <w:tc>
          <w:tcPr>
            <w:tcW w:w="905" w:type="dxa"/>
            <w:vAlign w:val="center"/>
          </w:tcPr>
          <w:p w14:paraId="200F1244" w14:textId="77777777" w:rsidR="00FF343B" w:rsidRDefault="0081755D"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创新依据</w:t>
            </w:r>
          </w:p>
        </w:tc>
        <w:tc>
          <w:tcPr>
            <w:tcW w:w="8315" w:type="dxa"/>
            <w:vAlign w:val="center"/>
          </w:tcPr>
          <w:p w14:paraId="7D3C779E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1.理论依据：</w:t>
            </w:r>
          </w:p>
          <w:p w14:paraId="13C5DC17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2.政策依据：</w:t>
            </w:r>
          </w:p>
          <w:p w14:paraId="28992337" w14:textId="77777777" w:rsidR="00FF343B" w:rsidRDefault="0081755D">
            <w:pPr>
              <w:adjustRightInd w:val="0"/>
              <w:snapToGrid w:val="0"/>
              <w:spacing w:line="360" w:lineRule="exact"/>
              <w:ind w:firstLine="6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3.数据依据：。</w:t>
            </w:r>
          </w:p>
        </w:tc>
      </w:tr>
    </w:tbl>
    <w:p w14:paraId="1EE8C4C0" w14:textId="77777777" w:rsidR="00FF343B" w:rsidRDefault="00FF343B"/>
    <w:p w14:paraId="62D0ABCD" w14:textId="77777777" w:rsidR="00FF343B" w:rsidRDefault="0081755D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道德是人类现实生活中由经济关系所决定，</w:t>
      </w:r>
      <w:r>
        <w:rPr>
          <w:rFonts w:ascii="楷体_GB2312" w:eastAsia="楷体_GB2312" w:hAnsi="楷体_GB2312" w:cs="楷体_GB2312" w:hint="eastAsia"/>
          <w:sz w:val="32"/>
          <w:szCs w:val="32"/>
        </w:rPr>
        <w:t>xxx</w:t>
      </w:r>
    </w:p>
    <w:p w14:paraId="7A5BBE32" w14:textId="77777777" w:rsidR="00FF343B" w:rsidRDefault="0081755D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Toc6476"/>
      <w:r>
        <w:rPr>
          <w:rFonts w:ascii="黑体" w:eastAsia="黑体" w:hAnsi="黑体" w:cs="黑体" w:hint="eastAsia"/>
          <w:sz w:val="32"/>
          <w:szCs w:val="32"/>
        </w:rPr>
        <w:t>一、</w:t>
      </w:r>
      <w:bookmarkEnd w:id="0"/>
      <w:r>
        <w:rPr>
          <w:rFonts w:ascii="楷体_GB2312" w:eastAsia="楷体_GB2312" w:hAnsi="楷体_GB2312" w:cs="楷体_GB2312" w:hint="eastAsia"/>
          <w:sz w:val="32"/>
          <w:szCs w:val="32"/>
        </w:rPr>
        <w:t>xxxx（黑体）</w:t>
      </w:r>
    </w:p>
    <w:p w14:paraId="2C9C857E" w14:textId="77777777" w:rsidR="00FF343B" w:rsidRDefault="0081755D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（一）学理界定（</w:t>
      </w:r>
      <w:r>
        <w:rPr>
          <w:rFonts w:ascii="仿宋_GB2312" w:eastAsia="仿宋_GB2312" w:hAnsi="仿宋_GB2312" w:cs="仿宋_GB2312" w:hint="eastAsia"/>
          <w:sz w:val="32"/>
          <w:szCs w:val="32"/>
        </w:rPr>
        <w:t>楷体-GB2312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14:paraId="0BB9FA09" w14:textId="77777777" w:rsidR="00FF343B" w:rsidRDefault="0081755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（仿宋--GB2312并加粗）</w:t>
      </w:r>
    </w:p>
    <w:p w14:paraId="78B9D4C7" w14:textId="77777777" w:rsidR="00FF343B" w:rsidRDefault="00FF343B">
      <w:pPr>
        <w:spacing w:line="600" w:lineRule="exact"/>
        <w:jc w:val="left"/>
        <w:rPr>
          <w:rFonts w:ascii="仿宋_GB2312" w:eastAsia="仿宋_GB2312"/>
          <w:sz w:val="36"/>
          <w:szCs w:val="36"/>
        </w:rPr>
      </w:pPr>
    </w:p>
    <w:p w14:paraId="0C24C843" w14:textId="77777777" w:rsidR="00FF343B" w:rsidRDefault="00FF343B"/>
    <w:sectPr w:rsidR="00FF343B">
      <w:footerReference w:type="default" r:id="rId8"/>
      <w:pgSz w:w="11906" w:h="16838"/>
      <w:pgMar w:top="2211" w:right="1474" w:bottom="1871" w:left="1474" w:header="851" w:footer="992" w:gutter="0"/>
      <w:pgNumType w:chapStyle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8D6B" w14:textId="77777777" w:rsidR="002B0B4A" w:rsidRDefault="002B0B4A">
      <w:r>
        <w:separator/>
      </w:r>
    </w:p>
  </w:endnote>
  <w:endnote w:type="continuationSeparator" w:id="0">
    <w:p w14:paraId="7ADBDD79" w14:textId="77777777" w:rsidR="002B0B4A" w:rsidRDefault="002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3660" w14:textId="77777777" w:rsidR="00FF343B" w:rsidRDefault="008175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E964E2" wp14:editId="7FD010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64A41" w14:textId="77777777" w:rsidR="00FF343B" w:rsidRDefault="0081755D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964E2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564A41" w14:textId="77777777" w:rsidR="00FF343B" w:rsidRDefault="0081755D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0EE" w14:textId="77777777" w:rsidR="002B0B4A" w:rsidRDefault="002B0B4A">
      <w:r>
        <w:separator/>
      </w:r>
    </w:p>
  </w:footnote>
  <w:footnote w:type="continuationSeparator" w:id="0">
    <w:p w14:paraId="72065725" w14:textId="77777777" w:rsidR="002B0B4A" w:rsidRDefault="002B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F3D4"/>
    <w:multiLevelType w:val="singleLevel"/>
    <w:tmpl w:val="5ABAF3D4"/>
    <w:lvl w:ilvl="0">
      <w:start w:val="3"/>
      <w:numFmt w:val="chineseCounting"/>
      <w:suff w:val="nothing"/>
      <w:lvlText w:val="%1、"/>
      <w:lvlJc w:val="left"/>
    </w:lvl>
  </w:abstractNum>
  <w:num w:numId="1" w16cid:durableId="159451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D34F13"/>
    <w:rsid w:val="002B0B4A"/>
    <w:rsid w:val="00815FEA"/>
    <w:rsid w:val="0081755D"/>
    <w:rsid w:val="009F12D1"/>
    <w:rsid w:val="00FF343B"/>
    <w:rsid w:val="70D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9D06F"/>
  <w15:docId w15:val="{5D6E5E48-8724-4459-A53E-BB71E17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pPr>
      <w:ind w:leftChars="200" w:left="420"/>
    </w:p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Venny-M</dc:creator>
  <cp:lastModifiedBy>卫丽君</cp:lastModifiedBy>
  <cp:revision>4</cp:revision>
  <dcterms:created xsi:type="dcterms:W3CDTF">2022-05-20T09:23:00Z</dcterms:created>
  <dcterms:modified xsi:type="dcterms:W3CDTF">2022-05-24T01:19:00Z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